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746AC1">
      <w:pPr>
        <w:pStyle w:val="14"/>
        <w:jc w:val="both"/>
        <w:rPr>
          <w:rStyle w:val="15"/>
          <w:rFonts w:ascii="Arial" w:hAnsi="Arial" w:cs="Arial"/>
        </w:rPr>
      </w:pPr>
    </w:p>
    <w:p w14:paraId="04A7B98E">
      <w:pPr>
        <w:pStyle w:val="14"/>
        <w:jc w:val="center"/>
        <w:rPr>
          <w:rStyle w:val="15"/>
          <w:rFonts w:ascii="Arial" w:hAnsi="Arial" w:cs="Arial"/>
        </w:rPr>
      </w:pPr>
      <w:r>
        <w:rPr>
          <w:rStyle w:val="15"/>
          <w:rFonts w:ascii="Arial" w:hAnsi="Arial" w:cs="Arial"/>
        </w:rPr>
        <w:t>„ESG standardi – uloga članova uprave i nadzornog odbora“</w:t>
      </w:r>
    </w:p>
    <w:p w14:paraId="7809735F">
      <w:pPr>
        <w:pStyle w:val="14"/>
        <w:jc w:val="center"/>
        <w:rPr>
          <w:rFonts w:ascii="Arial" w:hAnsi="Arial" w:cs="Arial"/>
        </w:rPr>
      </w:pPr>
      <w:r>
        <w:rPr>
          <w:rStyle w:val="15"/>
          <w:rFonts w:ascii="Arial" w:hAnsi="Arial" w:cs="Arial"/>
        </w:rPr>
        <w:t xml:space="preserve">14. </w:t>
      </w:r>
      <w:r>
        <w:rPr>
          <w:rStyle w:val="15"/>
          <w:rFonts w:hint="default" w:ascii="Arial" w:hAnsi="Arial" w:cs="Arial"/>
          <w:lang w:val="hr-BA"/>
        </w:rPr>
        <w:t>11.</w:t>
      </w:r>
      <w:r>
        <w:rPr>
          <w:rStyle w:val="15"/>
          <w:rFonts w:ascii="Arial" w:hAnsi="Arial" w:cs="Arial"/>
        </w:rPr>
        <w:t xml:space="preserve"> 2025. godine</w:t>
      </w:r>
      <w:r>
        <w:rPr>
          <w:rFonts w:ascii="Arial" w:hAnsi="Arial" w:cs="Arial"/>
        </w:rPr>
        <w:t xml:space="preserve"> u prostorijama </w:t>
      </w:r>
      <w:r>
        <w:rPr>
          <w:rStyle w:val="15"/>
          <w:rFonts w:ascii="Arial" w:hAnsi="Arial" w:cs="Arial"/>
        </w:rPr>
        <w:t>Privredne/Gospodarske komore Federacije BiH</w:t>
      </w:r>
      <w:r>
        <w:rPr>
          <w:rFonts w:ascii="Arial" w:hAnsi="Arial" w:cs="Arial"/>
        </w:rPr>
        <w:t xml:space="preserve">, </w:t>
      </w:r>
      <w:r>
        <w:rPr>
          <w:rStyle w:val="15"/>
          <w:rFonts w:ascii="Arial" w:hAnsi="Arial" w:cs="Arial"/>
        </w:rPr>
        <w:t xml:space="preserve">Kneza Domagoja 12, </w:t>
      </w:r>
      <w:r>
        <w:rPr>
          <w:rStyle w:val="15"/>
          <w:rFonts w:hint="default" w:ascii="Arial" w:hAnsi="Arial" w:cs="Arial"/>
          <w:lang w:val="hr-BA"/>
        </w:rPr>
        <w:t>Mostar.</w:t>
      </w:r>
    </w:p>
    <w:p w14:paraId="520F6BAC">
      <w:pPr>
        <w:pStyle w:val="14"/>
        <w:rPr>
          <w:rFonts w:ascii="Arial" w:hAnsi="Arial" w:cs="Arial"/>
        </w:rPr>
      </w:pPr>
      <w:r>
        <w:rPr>
          <w:rFonts w:hint="default" w:ascii="Arial" w:hAnsi="Arial" w:cs="Arial"/>
        </w:rPr>
        <w:t>Cilj seminara je omogućiti sudionicima cjelovito razumijevanje ESG koncepta (</w:t>
      </w:r>
      <w:r>
        <w:rPr>
          <w:rStyle w:val="10"/>
          <w:rFonts w:hint="default" w:ascii="Arial" w:hAnsi="Arial" w:cs="Arial"/>
        </w:rPr>
        <w:t>Environmental, Social, Governance</w:t>
      </w:r>
      <w:r>
        <w:rPr>
          <w:rFonts w:hint="default" w:ascii="Arial" w:hAnsi="Arial" w:cs="Arial"/>
        </w:rPr>
        <w:t>) u kontekstu sve većih regulatornih i tržišnih zahtjeva za njegovom primjenom u kompanijama u Bosni i Hercegovini.Sudionici će se upoznati s osnovama ESG-a, relevantnim globalnim i europskim regulatornim okvirom, načinima mjerenja i izvještavanja te konkretnim obvezama članova uprava i nadzornih odbora u procesu provedbe ESG strategije.</w:t>
      </w:r>
    </w:p>
    <w:p w14:paraId="6B908E5F">
      <w:pPr>
        <w:pStyle w:val="14"/>
        <w:rPr>
          <w:rStyle w:val="15"/>
          <w:rFonts w:hint="default" w:ascii="Arial" w:hAnsi="Arial" w:cs="Arial"/>
          <w:color w:val="222222"/>
          <w:lang w:val="hr-BA"/>
        </w:rPr>
      </w:pPr>
      <w:r>
        <w:rPr>
          <w:rFonts w:ascii="Arial" w:hAnsi="Arial" w:cs="Arial"/>
        </w:rPr>
        <w:t xml:space="preserve">Program se temelji na </w:t>
      </w:r>
      <w:r>
        <w:rPr>
          <w:rStyle w:val="15"/>
          <w:rFonts w:ascii="Arial" w:hAnsi="Arial" w:cs="Arial"/>
        </w:rPr>
        <w:t>interaktivnim predavanjima, grupnim diskusijama i praktičnim radionicama</w:t>
      </w:r>
      <w:r>
        <w:rPr>
          <w:rFonts w:ascii="Arial" w:hAnsi="Arial" w:cs="Arial"/>
        </w:rPr>
        <w:t xml:space="preserve">, s ciljem da polaznici steknu konkretna znanja i alate za </w:t>
      </w:r>
      <w:r>
        <w:rPr>
          <w:rFonts w:hint="default" w:ascii="Arial" w:hAnsi="Arial" w:cs="Arial"/>
        </w:rPr>
        <w:t>učinkovitu primjenu ESG načela u poslovanju.</w:t>
      </w:r>
    </w:p>
    <w:p w14:paraId="6BC50B50">
      <w:pPr>
        <w:pStyle w:val="14"/>
        <w:keepNext w:val="0"/>
        <w:keepLines w:val="0"/>
        <w:widowControl/>
        <w:suppressLineNumbers w:val="0"/>
        <w:bidi w:val="0"/>
        <w:spacing w:before="200" w:beforeAutospacing="0" w:after="0" w:afterAutospacing="0" w:line="12" w:lineRule="atLeast"/>
        <w:rPr>
          <w:rFonts w:hint="default" w:ascii="Arial" w:hAnsi="Arial" w:cs="Arial"/>
          <w:i w:val="0"/>
          <w:iCs w:val="0"/>
          <w:color w:val="000000"/>
          <w:sz w:val="24"/>
          <w:szCs w:val="24"/>
          <w:u w:val="none"/>
          <w:vertAlign w:val="baseline"/>
        </w:rPr>
      </w:pPr>
      <w:r>
        <w:rPr>
          <w:rFonts w:hint="default" w:ascii="Arial" w:hAnsi="Arial" w:cs="Arial"/>
          <w:b/>
          <w:bCs/>
          <w:i w:val="0"/>
          <w:iCs w:val="0"/>
          <w:color w:val="000000"/>
          <w:sz w:val="24"/>
          <w:szCs w:val="24"/>
          <w:u w:val="none"/>
          <w:vertAlign w:val="baseline"/>
        </w:rPr>
        <w:t xml:space="preserve">Naknada za učešće: </w:t>
      </w:r>
      <w:r>
        <w:rPr>
          <w:rFonts w:hint="default" w:ascii="Arial" w:hAnsi="Arial" w:cs="Arial"/>
          <w:i w:val="0"/>
          <w:iCs w:val="0"/>
          <w:color w:val="000000"/>
          <w:sz w:val="24"/>
          <w:szCs w:val="24"/>
          <w:u w:val="none"/>
          <w:vertAlign w:val="baseline"/>
        </w:rPr>
        <w:t>190 KM s uključenim PDV (informacije potrebne za uplatu naknade za  učešće bit će dostavljene nakon isteka roka za prijavu). </w:t>
      </w:r>
    </w:p>
    <w:p w14:paraId="4B834FD5">
      <w:pPr>
        <w:pStyle w:val="14"/>
        <w:rPr>
          <w:rStyle w:val="15"/>
          <w:rFonts w:hint="default" w:ascii="Arial" w:hAnsi="Arial" w:cs="Arial"/>
        </w:rPr>
      </w:pPr>
      <w:r>
        <w:rPr>
          <w:rFonts w:hint="default" w:ascii="Arial" w:hAnsi="Arial" w:cs="Arial"/>
        </w:rPr>
        <w:t xml:space="preserve">Broj mjesta je </w:t>
      </w:r>
      <w:r>
        <w:rPr>
          <w:rStyle w:val="15"/>
          <w:rFonts w:hint="default" w:ascii="Arial" w:hAnsi="Arial" w:cs="Arial"/>
        </w:rPr>
        <w:t>ograničen</w:t>
      </w:r>
      <w:r>
        <w:rPr>
          <w:rFonts w:hint="default" w:ascii="Arial" w:hAnsi="Arial" w:cs="Arial"/>
        </w:rPr>
        <w:t>.</w:t>
      </w:r>
      <w:r>
        <w:rPr>
          <w:rFonts w:hint="default" w:ascii="Arial" w:hAnsi="Arial" w:cs="Arial"/>
        </w:rPr>
        <w:br w:type="textWrapping"/>
      </w:r>
      <w:r>
        <w:rPr>
          <w:rStyle w:val="15"/>
          <w:rFonts w:hint="default" w:ascii="Arial" w:hAnsi="Arial" w:cs="Arial"/>
        </w:rPr>
        <w:t xml:space="preserve">Prijave se zaprimaju do </w:t>
      </w:r>
      <w:r>
        <w:rPr>
          <w:rStyle w:val="15"/>
          <w:rFonts w:hint="default" w:ascii="Arial" w:hAnsi="Arial" w:cs="Arial"/>
          <w:lang w:val="hr-BA"/>
        </w:rPr>
        <w:t>8.</w:t>
      </w:r>
      <w:r>
        <w:rPr>
          <w:rStyle w:val="15"/>
          <w:rFonts w:hint="default" w:ascii="Arial" w:hAnsi="Arial" w:cs="Arial"/>
        </w:rPr>
        <w:t xml:space="preserve"> studenoga/novembra 2025., nakon čega će se izdati predračuni i naputak za plaćanje.</w:t>
      </w:r>
      <w:r>
        <w:rPr>
          <w:rFonts w:hint="default" w:ascii="Arial" w:hAnsi="Arial" w:cs="Arial"/>
        </w:rPr>
        <w:br w:type="textWrapping"/>
      </w:r>
      <w:r>
        <w:rPr>
          <w:rFonts w:hint="default" w:ascii="Arial" w:hAnsi="Arial" w:cs="Arial"/>
        </w:rPr>
        <w:t xml:space="preserve">Prijava putem e-maila: </w:t>
      </w:r>
      <w:r>
        <w:rPr>
          <w:rStyle w:val="15"/>
          <w:rFonts w:hint="default" w:ascii="Arial" w:hAnsi="Arial" w:cs="Arial"/>
        </w:rPr>
        <w:fldChar w:fldCharType="begin"/>
      </w:r>
      <w:r>
        <w:rPr>
          <w:rStyle w:val="15"/>
          <w:rFonts w:hint="default" w:ascii="Arial" w:hAnsi="Arial" w:cs="Arial"/>
        </w:rPr>
        <w:instrText xml:space="preserve"> HYPERLINK "mailto:k.marusic@kfbih.com" </w:instrText>
      </w:r>
      <w:r>
        <w:rPr>
          <w:rStyle w:val="15"/>
          <w:rFonts w:hint="default" w:ascii="Arial" w:hAnsi="Arial" w:cs="Arial"/>
        </w:rPr>
        <w:fldChar w:fldCharType="separate"/>
      </w:r>
      <w:r>
        <w:rPr>
          <w:rStyle w:val="13"/>
          <w:rFonts w:hint="default" w:ascii="Arial" w:hAnsi="Arial" w:cs="Arial"/>
          <w:b/>
          <w:bCs/>
        </w:rPr>
        <w:t>k.marusic@kfbih.com</w:t>
      </w:r>
      <w:r>
        <w:rPr>
          <w:rStyle w:val="15"/>
          <w:rFonts w:hint="default" w:ascii="Arial" w:hAnsi="Arial" w:cs="Arial"/>
        </w:rPr>
        <w:fldChar w:fldCharType="end"/>
      </w:r>
    </w:p>
    <w:p w14:paraId="6A71FB91">
      <w:pPr>
        <w:pStyle w:val="14"/>
        <w:rPr>
          <w:rFonts w:ascii="Segoe UI Symbol" w:hAnsi="Segoe UI Symbol" w:cs="Segoe UI Symbol"/>
        </w:rPr>
      </w:pPr>
      <w:r>
        <w:rPr>
          <w:rStyle w:val="15"/>
          <w:rFonts w:hint="default" w:ascii="Arial" w:hAnsi="Arial" w:cs="Arial"/>
        </w:rPr>
        <w:t>Za dodatne informacije:</w:t>
      </w:r>
      <w:r>
        <w:rPr>
          <w:rFonts w:hint="default" w:ascii="Arial" w:hAnsi="Arial" w:cs="Arial"/>
        </w:rPr>
        <w:br w:type="textWrapping"/>
      </w:r>
      <w:r>
        <w:rPr>
          <w:rStyle w:val="15"/>
          <w:rFonts w:hint="default" w:ascii="Arial" w:hAnsi="Arial" w:cs="Arial"/>
        </w:rPr>
        <w:t>Karolina Marušić</w:t>
      </w:r>
      <w:r>
        <w:rPr>
          <w:rFonts w:hint="default" w:ascii="Arial" w:hAnsi="Arial" w:cs="Arial"/>
        </w:rPr>
        <w:t>, šef Službe za edukaciju Tel: 036 446 066, mail:k.marusic@kfbih.com.</w:t>
      </w:r>
    </w:p>
    <w:p w14:paraId="5BF0FE48">
      <w:pPr>
        <w:pStyle w:val="3"/>
      </w:pPr>
      <w:r>
        <w:rPr>
          <w:rFonts w:ascii="Segoe UI Symbol" w:hAnsi="Segoe UI Symbol" w:cs="Segoe UI Symbol"/>
        </w:rPr>
        <w:t>📋</w:t>
      </w:r>
      <w:r>
        <w:t xml:space="preserve"> </w:t>
      </w:r>
      <w:r>
        <w:rPr>
          <w:rStyle w:val="15"/>
          <w:bCs w:val="0"/>
        </w:rPr>
        <w:t>Program</w:t>
      </w:r>
    </w:p>
    <w:p w14:paraId="4757E593">
      <w:pPr>
        <w:pStyle w:val="14"/>
      </w:pPr>
      <w:r>
        <w:rPr>
          <w:rStyle w:val="15"/>
        </w:rPr>
        <w:t>10:00 – 11:30 | BLOK 1 – ESG: Uvod i koncept</w:t>
      </w:r>
    </w:p>
    <w:p w14:paraId="120F14F1">
      <w:pPr>
        <w:pStyle w:val="14"/>
        <w:numPr>
          <w:ilvl w:val="0"/>
          <w:numId w:val="1"/>
        </w:numPr>
      </w:pPr>
      <w:r>
        <w:t>Korporativno upravljanje i odgovornost – kome poduzeća odgovaraju?</w:t>
      </w:r>
    </w:p>
    <w:p w14:paraId="67A3218A">
      <w:pPr>
        <w:pStyle w:val="14"/>
        <w:numPr>
          <w:ilvl w:val="0"/>
          <w:numId w:val="1"/>
        </w:numPr>
      </w:pPr>
      <w:r>
        <w:t>Evolucija od Miltona Friedmana do ESG-a</w:t>
      </w:r>
    </w:p>
    <w:p w14:paraId="784A899D">
      <w:pPr>
        <w:pStyle w:val="14"/>
        <w:numPr>
          <w:ilvl w:val="0"/>
          <w:numId w:val="1"/>
        </w:numPr>
      </w:pPr>
      <w:r>
        <w:t>ESG okvir: značenje i obveznost</w:t>
      </w:r>
    </w:p>
    <w:p w14:paraId="5E8E4E1C">
      <w:pPr>
        <w:pStyle w:val="14"/>
        <w:numPr>
          <w:ilvl w:val="0"/>
          <w:numId w:val="1"/>
        </w:numPr>
      </w:pPr>
      <w:r>
        <w:t>Povijesni razvoj i globalni kontekst</w:t>
      </w:r>
    </w:p>
    <w:p w14:paraId="14576E9A">
      <w:pPr>
        <w:pStyle w:val="14"/>
        <w:numPr>
          <w:ilvl w:val="0"/>
          <w:numId w:val="1"/>
        </w:numPr>
      </w:pPr>
      <w:r>
        <w:t>UN ciljevi održivog razvoja (SDGs)</w:t>
      </w:r>
    </w:p>
    <w:p w14:paraId="793AC908">
      <w:pPr>
        <w:pStyle w:val="14"/>
        <w:numPr>
          <w:ilvl w:val="0"/>
          <w:numId w:val="1"/>
        </w:numPr>
      </w:pPr>
      <w:r>
        <w:t>EU Zeleni plan – osam stupova</w:t>
      </w:r>
    </w:p>
    <w:p w14:paraId="5F3F35DC">
      <w:pPr>
        <w:pStyle w:val="14"/>
        <w:numPr>
          <w:ilvl w:val="0"/>
          <w:numId w:val="1"/>
        </w:numPr>
      </w:pPr>
      <w:r>
        <w:t>Ključne ESG regulative EU (CSRD, ESRS, CSDDD, SFDR, Taksonomija)</w:t>
      </w:r>
      <w:r>
        <w:br w:type="textWrapping"/>
      </w:r>
      <w:r>
        <w:rPr>
          <w:rFonts w:ascii="Segoe UI Symbol" w:hAnsi="Segoe UI Symbol" w:cs="Segoe UI Symbol"/>
        </w:rPr>
        <w:t>👉</w:t>
      </w:r>
      <w:r>
        <w:t xml:space="preserve"> </w:t>
      </w:r>
      <w:r>
        <w:rPr>
          <w:rStyle w:val="10"/>
        </w:rPr>
        <w:t>Metoda rada:</w:t>
      </w:r>
      <w:r>
        <w:t xml:space="preserve"> interaktivno predavanje + kratki video o globalnim ESG trendovima</w:t>
      </w:r>
      <w:r>
        <w:br w:type="textWrapping"/>
      </w:r>
      <w:r>
        <w:rPr>
          <w:rFonts w:ascii="Segoe UI Symbol" w:hAnsi="Segoe UI Symbol" w:cs="Segoe UI Symbol"/>
        </w:rPr>
        <w:t>👉</w:t>
      </w:r>
      <w:r>
        <w:t xml:space="preserve"> </w:t>
      </w:r>
      <w:r>
        <w:rPr>
          <w:rStyle w:val="10"/>
        </w:rPr>
        <w:t>Ishod:</w:t>
      </w:r>
      <w:r>
        <w:t xml:space="preserve"> razumijevanje temeljnih pojmova i konteksta ESG-a</w:t>
      </w:r>
    </w:p>
    <w:p w14:paraId="17021FCD">
      <w:pPr>
        <w:pStyle w:val="14"/>
      </w:pPr>
      <w:r>
        <w:rPr>
          <w:rStyle w:val="15"/>
        </w:rPr>
        <w:t>11:30 – 12:00 | Pauza</w:t>
      </w:r>
    </w:p>
    <w:p w14:paraId="18696883">
      <w:pPr>
        <w:pStyle w:val="14"/>
        <w:rPr>
          <w:rStyle w:val="15"/>
        </w:rPr>
      </w:pPr>
    </w:p>
    <w:p w14:paraId="7869D7CE">
      <w:pPr>
        <w:pStyle w:val="14"/>
        <w:rPr>
          <w:rStyle w:val="15"/>
        </w:rPr>
      </w:pPr>
    </w:p>
    <w:p w14:paraId="226478DE">
      <w:pPr>
        <w:pStyle w:val="14"/>
        <w:rPr>
          <w:rStyle w:val="15"/>
        </w:rPr>
      </w:pPr>
    </w:p>
    <w:p w14:paraId="478ABE02">
      <w:pPr>
        <w:pStyle w:val="14"/>
      </w:pPr>
      <w:bookmarkStart w:id="0" w:name="_GoBack"/>
      <w:bookmarkEnd w:id="0"/>
      <w:r>
        <w:rPr>
          <w:rStyle w:val="15"/>
        </w:rPr>
        <w:t>12:00 – 13:30 | BLOK 2 – ESG: Mjerenje i provedba</w:t>
      </w:r>
    </w:p>
    <w:p w14:paraId="30A837F5">
      <w:pPr>
        <w:pStyle w:val="14"/>
        <w:numPr>
          <w:ilvl w:val="0"/>
          <w:numId w:val="2"/>
        </w:numPr>
      </w:pPr>
      <w:r>
        <w:t>ESG metrike (E, S, G komponente)</w:t>
      </w:r>
    </w:p>
    <w:p w14:paraId="407774B1">
      <w:pPr>
        <w:pStyle w:val="14"/>
        <w:numPr>
          <w:ilvl w:val="0"/>
          <w:numId w:val="2"/>
        </w:numPr>
      </w:pPr>
      <w:r>
        <w:t>ESG standardi i izvještavanje (GRI, SASB, BSC, EU standardi)</w:t>
      </w:r>
    </w:p>
    <w:p w14:paraId="41C4771A">
      <w:pPr>
        <w:pStyle w:val="14"/>
        <w:numPr>
          <w:ilvl w:val="0"/>
          <w:numId w:val="2"/>
        </w:numPr>
      </w:pPr>
      <w:r>
        <w:t>ESG praksa u BiH i regiji – stanje, izazovi i primjeri dobre prakse</w:t>
      </w:r>
      <w:r>
        <w:br w:type="textWrapping"/>
      </w:r>
      <w:r>
        <w:rPr>
          <w:rFonts w:ascii="Segoe UI Symbol" w:hAnsi="Segoe UI Symbol" w:cs="Segoe UI Symbol"/>
        </w:rPr>
        <w:t>👉</w:t>
      </w:r>
      <w:r>
        <w:t xml:space="preserve"> </w:t>
      </w:r>
      <w:r>
        <w:rPr>
          <w:rStyle w:val="10"/>
        </w:rPr>
        <w:t>Metoda rada:</w:t>
      </w:r>
      <w:r>
        <w:t xml:space="preserve"> prikaz primjera + grupna diskusija</w:t>
      </w:r>
      <w:r>
        <w:br w:type="textWrapping"/>
      </w:r>
      <w:r>
        <w:rPr>
          <w:rFonts w:ascii="Segoe UI Symbol" w:hAnsi="Segoe UI Symbol" w:cs="Segoe UI Symbol"/>
        </w:rPr>
        <w:t>👉</w:t>
      </w:r>
      <w:r>
        <w:t xml:space="preserve"> </w:t>
      </w:r>
      <w:r>
        <w:rPr>
          <w:rStyle w:val="10"/>
        </w:rPr>
        <w:t>Ishod:</w:t>
      </w:r>
      <w:r>
        <w:t xml:space="preserve"> razumijevanje načina mjerenja i izazova provedbe ESG-a</w:t>
      </w:r>
    </w:p>
    <w:p w14:paraId="291A0141">
      <w:pPr>
        <w:pStyle w:val="14"/>
      </w:pPr>
      <w:r>
        <w:rPr>
          <w:rStyle w:val="15"/>
        </w:rPr>
        <w:t>13:30 – 13:50 | Pauza</w:t>
      </w:r>
    </w:p>
    <w:p w14:paraId="65AEE829">
      <w:pPr>
        <w:pStyle w:val="14"/>
      </w:pPr>
      <w:r>
        <w:rPr>
          <w:rStyle w:val="15"/>
        </w:rPr>
        <w:t>13:50 – 15:30 | BLOK 3 – ESG: Uloga uprava i nadzornih odbora</w:t>
      </w:r>
    </w:p>
    <w:p w14:paraId="020D6D07">
      <w:pPr>
        <w:pStyle w:val="14"/>
        <w:numPr>
          <w:ilvl w:val="0"/>
          <w:numId w:val="3"/>
        </w:numPr>
      </w:pPr>
      <w:r>
        <w:t>Integracija ESG-a u razvojnu strategiju poduzeća</w:t>
      </w:r>
    </w:p>
    <w:p w14:paraId="581C49E2">
      <w:pPr>
        <w:pStyle w:val="14"/>
        <w:numPr>
          <w:ilvl w:val="0"/>
          <w:numId w:val="3"/>
        </w:numPr>
      </w:pPr>
      <w:r>
        <w:t>Fiducijarna odgovornost i regulatorni zahtjevi</w:t>
      </w:r>
    </w:p>
    <w:p w14:paraId="504B409D">
      <w:pPr>
        <w:pStyle w:val="14"/>
        <w:numPr>
          <w:ilvl w:val="0"/>
          <w:numId w:val="3"/>
        </w:numPr>
      </w:pPr>
      <w:r>
        <w:t>Upravljanje ESG rizicima i prilikama</w:t>
      </w:r>
    </w:p>
    <w:p w14:paraId="71FAABE3">
      <w:pPr>
        <w:pStyle w:val="14"/>
        <w:numPr>
          <w:ilvl w:val="0"/>
          <w:numId w:val="3"/>
        </w:numPr>
      </w:pPr>
      <w:r>
        <w:t>Mini radionica: izrada osnovnog ESG izvještaja</w:t>
      </w:r>
      <w:r>
        <w:br w:type="textWrapping"/>
      </w:r>
      <w:r>
        <w:rPr>
          <w:rFonts w:ascii="Segoe UI Symbol" w:hAnsi="Segoe UI Symbol" w:cs="Segoe UI Symbol"/>
        </w:rPr>
        <w:t>👉</w:t>
      </w:r>
      <w:r>
        <w:t xml:space="preserve"> </w:t>
      </w:r>
      <w:r>
        <w:rPr>
          <w:rStyle w:val="10"/>
        </w:rPr>
        <w:t>Metoda rada:</w:t>
      </w:r>
      <w:r>
        <w:t xml:space="preserve"> interaktivna radionica + diskusija</w:t>
      </w:r>
      <w:r>
        <w:br w:type="textWrapping"/>
      </w:r>
      <w:r>
        <w:rPr>
          <w:rFonts w:ascii="Segoe UI Symbol" w:hAnsi="Segoe UI Symbol" w:cs="Segoe UI Symbol"/>
        </w:rPr>
        <w:t>👉</w:t>
      </w:r>
      <w:r>
        <w:t xml:space="preserve"> </w:t>
      </w:r>
      <w:r>
        <w:rPr>
          <w:rStyle w:val="10"/>
        </w:rPr>
        <w:t>Ishod:</w:t>
      </w:r>
      <w:r>
        <w:t xml:space="preserve"> razumijevanje odgovornosti uprava i nadzornih odbora</w:t>
      </w:r>
    </w:p>
    <w:p w14:paraId="38A11009">
      <w:pPr>
        <w:pStyle w:val="14"/>
      </w:pPr>
      <w:r>
        <w:rPr>
          <w:rStyle w:val="15"/>
        </w:rPr>
        <w:t>15:30 – 16:00 | Završna diskusija</w:t>
      </w:r>
    </w:p>
    <w:p w14:paraId="15F10AC1">
      <w:pPr>
        <w:pStyle w:val="14"/>
        <w:numPr>
          <w:ilvl w:val="0"/>
          <w:numId w:val="4"/>
        </w:numPr>
      </w:pPr>
      <w:r>
        <w:t>Sažetak ključnih poruka</w:t>
      </w:r>
    </w:p>
    <w:p w14:paraId="5B364DA7">
      <w:pPr>
        <w:pStyle w:val="14"/>
        <w:numPr>
          <w:ilvl w:val="0"/>
          <w:numId w:val="4"/>
        </w:numPr>
      </w:pPr>
      <w:r>
        <w:t>Pitanja i odgovori</w:t>
      </w:r>
    </w:p>
    <w:p w14:paraId="3AEE73B0">
      <w:pPr>
        <w:pStyle w:val="14"/>
        <w:numPr>
          <w:ilvl w:val="0"/>
          <w:numId w:val="4"/>
        </w:numPr>
        <w:rPr>
          <w:rFonts w:ascii="Segoe UI Symbol" w:hAnsi="Segoe UI Symbol" w:cs="Segoe UI Symbol"/>
          <w:b/>
        </w:rPr>
      </w:pPr>
      <w:r>
        <w:t>Preporučena literatura i izvori</w:t>
      </w:r>
    </w:p>
    <w:p w14:paraId="37EDEC32">
      <w:pPr>
        <w:pStyle w:val="3"/>
        <w:rPr>
          <w:b/>
        </w:rPr>
      </w:pPr>
      <w:r>
        <w:rPr>
          <w:rFonts w:ascii="Segoe UI Symbol" w:hAnsi="Segoe UI Symbol" w:cs="Segoe UI Symbol"/>
          <w:b/>
        </w:rPr>
        <w:t>👨</w:t>
      </w:r>
      <w:r>
        <w:rPr>
          <w:b/>
        </w:rPr>
        <w:t>‍</w:t>
      </w:r>
      <w:r>
        <w:rPr>
          <w:rFonts w:ascii="Segoe UI Symbol" w:hAnsi="Segoe UI Symbol" w:cs="Segoe UI Symbol"/>
          <w:b/>
        </w:rPr>
        <w:t>🏫</w:t>
      </w:r>
      <w:r>
        <w:rPr>
          <w:b/>
        </w:rPr>
        <w:t xml:space="preserve"> </w:t>
      </w:r>
      <w:r>
        <w:rPr>
          <w:rStyle w:val="15"/>
          <w:b w:val="0"/>
          <w:bCs w:val="0"/>
        </w:rPr>
        <w:t>Predavač</w:t>
      </w:r>
    </w:p>
    <w:p w14:paraId="1479398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Dr.sc. Aziz Šunje (69) je profesor emeritus na Ekonomskom fakultetu Univerziteta u Sarajevu. </w:t>
      </w:r>
    </w:p>
    <w:p w14:paraId="3FC45B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11430</wp:posOffset>
            </wp:positionV>
            <wp:extent cx="2178050" cy="1619885"/>
            <wp:effectExtent l="8890" t="521335" r="7620" b="571500"/>
            <wp:wrapSquare wrapText="bothSides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78000" cy="162000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>
                        <a:rot lat="0" lon="0" rev="5400000"/>
                      </a:camera>
                      <a:lightRig rig="threePt" dir="t"/>
                    </a:scene3d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>U svojoj 45-godišnjoj akademskoj karijeri osmislio je i predavao veći broj predmeta iz</w:t>
      </w:r>
    </w:p>
    <w:p w14:paraId="6AFC3A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domena biznisa u Bosni i Hercegovini i u inostranstvu (SAD, Turska, Slovenija,</w:t>
      </w:r>
    </w:p>
    <w:p w14:paraId="6953B8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Hrvatska) na svim razinama studija. Kao Fulbrightov postdokotoralni stipendista</w:t>
      </w:r>
    </w:p>
    <w:p w14:paraId="4BE2FE8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proveo je akademsku 1998/99 godinu na Michigan State University, SAD.</w:t>
      </w:r>
    </w:p>
    <w:p w14:paraId="5E4A7E8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Dr.sc. Šunje je autor i koautor šest knjiga i velikog broja akademskih članaka.</w:t>
      </w:r>
    </w:p>
    <w:p w14:paraId="6AE47E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Njegove knjige: Top-menadžer: vizionar i strateg (2002. tri izdanja),</w:t>
      </w:r>
    </w:p>
    <w:p w14:paraId="5AC741E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Korporativno upravljanje: principi i mehanizmi (koautor, 2008., više izdanja), i</w:t>
      </w:r>
    </w:p>
    <w:p w14:paraId="29372D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Anatomija biznisa: od namjere do uspjeha (prvi autor, 2020.) su opšte prihvaćena</w:t>
      </w:r>
    </w:p>
    <w:p w14:paraId="68AA6C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literature među poslovnim ljudima i studentima u BiH i regiji.</w:t>
      </w:r>
    </w:p>
    <w:p w14:paraId="090A194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7593E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31C81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73A1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Profesor Šunje jedan je od vodećih bosanskohercegovačkih konsultanata u području korporativnog upravljanja, poduzetništva, strateškog menadžmenta i organizacionog dizajna duboku uronjen u ekonomiju Bosne i Hercegovine. Član je nadzornog odbora Privredne banke Sarajevo, d.d. Sarajevo već više od 15 godina. Bio je i</w:t>
      </w:r>
    </w:p>
    <w:p w14:paraId="27D9CD65">
      <w:pPr>
        <w:spacing w:after="0"/>
        <w:rPr>
          <w:rFonts w:ascii="Cambria Math" w:hAnsi="Cambria Math" w:cs="Cambria Math"/>
        </w:rPr>
      </w:pPr>
      <w:r>
        <w:rPr>
          <w:rFonts w:ascii="Times New Roman" w:hAnsi="Times New Roman" w:cs="Times New Roman"/>
          <w:sz w:val="24"/>
          <w:szCs w:val="24"/>
        </w:rPr>
        <w:t>član Ekonomskog savjeta Vlade BiH (2010) i član Ekonomskog savjeta Vlade Federacije BiH (2017).</w:t>
      </w:r>
      <w:r>
        <w:rPr>
          <w:rFonts w:ascii="Times New Roman" w:hAnsi="Times New Roman" w:cs="Times New Roman"/>
          <w:sz w:val="24"/>
          <w:szCs w:val="24"/>
        </w:rPr>
        <w:pict>
          <v:rect id="_x0000_i1025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75DF894">
      <w:pPr>
        <w:pStyle w:val="3"/>
        <w:rPr>
          <w:rFonts w:ascii="Cambria Math" w:hAnsi="Cambria Math" w:cs="Cambria Math"/>
        </w:rPr>
      </w:pPr>
    </w:p>
    <w:p w14:paraId="024A392C">
      <w:pPr>
        <w:rPr>
          <w:rFonts w:ascii="Arial" w:hAnsi="Arial" w:cs="Arial"/>
          <w:b/>
          <w:color w:val="0000FF"/>
        </w:rPr>
      </w:pPr>
    </w:p>
    <w:sectPr>
      <w:headerReference r:id="rId5" w:type="default"/>
      <w:footerReference r:id="rId6" w:type="default"/>
      <w:pgSz w:w="11906" w:h="16838"/>
      <w:pgMar w:top="1440" w:right="1440" w:bottom="851" w:left="1440" w:header="567" w:footer="284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default"/>
    <w:sig w:usb0="E00006FF" w:usb1="420024FF" w:usb2="02000000" w:usb3="00000000" w:csb0="2000019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9B5A5B">
    <w:pPr>
      <w:pStyle w:val="11"/>
    </w:pPr>
    <w:r>
      <w:ptab w:relativeTo="margin" w:alignment="center" w:leader="none"/>
    </w:r>
    <w:r>
      <w:rPr>
        <w:lang w:val="hr-HR" w:eastAsia="hr-HR"/>
      </w:rPr>
      <w:drawing>
        <wp:inline distT="0" distB="0" distL="0" distR="0">
          <wp:extent cx="5730875" cy="449580"/>
          <wp:effectExtent l="0" t="0" r="3175" b="7620"/>
          <wp:docPr id="2" name="Picture 2" descr="C:\Users\aa\AppData\Local\Microsoft\Windows\INetCacheContent.Word\Untitled666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C:\Users\aa\AppData\Local\Microsoft\Windows\INetCacheContent.Word\Untitled666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45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2AC452">
    <w:pPr>
      <w:pStyle w:val="12"/>
    </w:pPr>
    <w:r>
      <w:rPr>
        <w:lang w:val="hr-HR" w:eastAsia="hr-HR"/>
      </w:rPr>
      <w:drawing>
        <wp:inline distT="0" distB="0" distL="0" distR="0">
          <wp:extent cx="5731510" cy="683260"/>
          <wp:effectExtent l="0" t="0" r="2540" b="2540"/>
          <wp:docPr id="1" name="Picture 1" descr="C:\Users\aa\AppData\Local\Microsoft\Windows\INetCacheContent.Word\Untitled6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aa\AppData\Local\Microsoft\Windows\INetCacheContent.Word\Untitled6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510" cy="683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B45533"/>
    <w:multiLevelType w:val="multilevel"/>
    <w:tmpl w:val="0AB4553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0BF15140"/>
    <w:multiLevelType w:val="multilevel"/>
    <w:tmpl w:val="0BF1514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0DF10858"/>
    <w:multiLevelType w:val="multilevel"/>
    <w:tmpl w:val="0DF1085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1ED0536B"/>
    <w:multiLevelType w:val="multilevel"/>
    <w:tmpl w:val="1ED0536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0"/>
  <w:bordersDoNotSurroundFooter w:val="0"/>
  <w:documentProtection w:enforcement="0"/>
  <w:defaultTabStop w:val="720"/>
  <w:hyphenationZone w:val="425"/>
  <w:drawingGridHorizontalSpacing w:val="1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74E"/>
    <w:rsid w:val="00011EC0"/>
    <w:rsid w:val="00043583"/>
    <w:rsid w:val="0004371C"/>
    <w:rsid w:val="000734CA"/>
    <w:rsid w:val="00075E53"/>
    <w:rsid w:val="00106B88"/>
    <w:rsid w:val="00115361"/>
    <w:rsid w:val="001405E3"/>
    <w:rsid w:val="00143CC2"/>
    <w:rsid w:val="001575C5"/>
    <w:rsid w:val="001D57B1"/>
    <w:rsid w:val="001E45C5"/>
    <w:rsid w:val="002156D1"/>
    <w:rsid w:val="002277BD"/>
    <w:rsid w:val="00227EC6"/>
    <w:rsid w:val="00252857"/>
    <w:rsid w:val="00253472"/>
    <w:rsid w:val="00255ED0"/>
    <w:rsid w:val="00255F42"/>
    <w:rsid w:val="00287B10"/>
    <w:rsid w:val="002B0532"/>
    <w:rsid w:val="002C1E8E"/>
    <w:rsid w:val="002C20F0"/>
    <w:rsid w:val="002D528E"/>
    <w:rsid w:val="002D659D"/>
    <w:rsid w:val="002D78D6"/>
    <w:rsid w:val="00313879"/>
    <w:rsid w:val="00317F46"/>
    <w:rsid w:val="00325AD6"/>
    <w:rsid w:val="0035137E"/>
    <w:rsid w:val="00366276"/>
    <w:rsid w:val="0037023B"/>
    <w:rsid w:val="00374FD1"/>
    <w:rsid w:val="003937E0"/>
    <w:rsid w:val="003C0F54"/>
    <w:rsid w:val="003F42FB"/>
    <w:rsid w:val="00402C7A"/>
    <w:rsid w:val="00404C2E"/>
    <w:rsid w:val="0041732E"/>
    <w:rsid w:val="00420D1D"/>
    <w:rsid w:val="004313D2"/>
    <w:rsid w:val="00464E11"/>
    <w:rsid w:val="0046557E"/>
    <w:rsid w:val="00477538"/>
    <w:rsid w:val="00490093"/>
    <w:rsid w:val="00495AD7"/>
    <w:rsid w:val="004C2487"/>
    <w:rsid w:val="004C4A99"/>
    <w:rsid w:val="004D6982"/>
    <w:rsid w:val="004E0A35"/>
    <w:rsid w:val="0050088C"/>
    <w:rsid w:val="00580BD0"/>
    <w:rsid w:val="005843E9"/>
    <w:rsid w:val="005A36F8"/>
    <w:rsid w:val="005A6B87"/>
    <w:rsid w:val="005B02EF"/>
    <w:rsid w:val="005B058A"/>
    <w:rsid w:val="005E1F68"/>
    <w:rsid w:val="005E6753"/>
    <w:rsid w:val="005F5516"/>
    <w:rsid w:val="00601072"/>
    <w:rsid w:val="00606D9D"/>
    <w:rsid w:val="0061470F"/>
    <w:rsid w:val="00624C6E"/>
    <w:rsid w:val="00655B50"/>
    <w:rsid w:val="00671C49"/>
    <w:rsid w:val="006851AD"/>
    <w:rsid w:val="0069066A"/>
    <w:rsid w:val="00690790"/>
    <w:rsid w:val="006979B3"/>
    <w:rsid w:val="006E0F3D"/>
    <w:rsid w:val="006F7CC5"/>
    <w:rsid w:val="007262D4"/>
    <w:rsid w:val="00737B19"/>
    <w:rsid w:val="007628D4"/>
    <w:rsid w:val="00785CF7"/>
    <w:rsid w:val="007864E0"/>
    <w:rsid w:val="007950B2"/>
    <w:rsid w:val="007A16E6"/>
    <w:rsid w:val="007B11E3"/>
    <w:rsid w:val="007B36A6"/>
    <w:rsid w:val="007B641E"/>
    <w:rsid w:val="007C18DD"/>
    <w:rsid w:val="007C6AED"/>
    <w:rsid w:val="00825B31"/>
    <w:rsid w:val="0083090F"/>
    <w:rsid w:val="00836A51"/>
    <w:rsid w:val="00837690"/>
    <w:rsid w:val="0084254B"/>
    <w:rsid w:val="00843734"/>
    <w:rsid w:val="008479DC"/>
    <w:rsid w:val="008A4963"/>
    <w:rsid w:val="008D1274"/>
    <w:rsid w:val="008D16ED"/>
    <w:rsid w:val="008F1AFE"/>
    <w:rsid w:val="00913B1B"/>
    <w:rsid w:val="00916FF3"/>
    <w:rsid w:val="00932DE6"/>
    <w:rsid w:val="00957EF4"/>
    <w:rsid w:val="0096337A"/>
    <w:rsid w:val="00985407"/>
    <w:rsid w:val="0099409D"/>
    <w:rsid w:val="00996BF5"/>
    <w:rsid w:val="009A2F47"/>
    <w:rsid w:val="009A4C0E"/>
    <w:rsid w:val="009B5A0E"/>
    <w:rsid w:val="009C3E0B"/>
    <w:rsid w:val="009D5E84"/>
    <w:rsid w:val="009E692C"/>
    <w:rsid w:val="00A001B4"/>
    <w:rsid w:val="00A15E42"/>
    <w:rsid w:val="00A15E97"/>
    <w:rsid w:val="00A26943"/>
    <w:rsid w:val="00A30CC9"/>
    <w:rsid w:val="00A530B6"/>
    <w:rsid w:val="00A568CD"/>
    <w:rsid w:val="00A947C9"/>
    <w:rsid w:val="00A952EA"/>
    <w:rsid w:val="00AB7F70"/>
    <w:rsid w:val="00AD6FCF"/>
    <w:rsid w:val="00AD7F0C"/>
    <w:rsid w:val="00B07EDF"/>
    <w:rsid w:val="00B40553"/>
    <w:rsid w:val="00B4703B"/>
    <w:rsid w:val="00B9574E"/>
    <w:rsid w:val="00B96F6D"/>
    <w:rsid w:val="00BB4BAF"/>
    <w:rsid w:val="00BD15EF"/>
    <w:rsid w:val="00BE49BB"/>
    <w:rsid w:val="00BF3AD9"/>
    <w:rsid w:val="00BF3C3E"/>
    <w:rsid w:val="00C06B4C"/>
    <w:rsid w:val="00C11A63"/>
    <w:rsid w:val="00C310A4"/>
    <w:rsid w:val="00C37B84"/>
    <w:rsid w:val="00C42A54"/>
    <w:rsid w:val="00C63DB5"/>
    <w:rsid w:val="00C8019E"/>
    <w:rsid w:val="00CD6744"/>
    <w:rsid w:val="00D23E51"/>
    <w:rsid w:val="00D65146"/>
    <w:rsid w:val="00D82412"/>
    <w:rsid w:val="00D93DE1"/>
    <w:rsid w:val="00D96A4D"/>
    <w:rsid w:val="00DB71FB"/>
    <w:rsid w:val="00DF2116"/>
    <w:rsid w:val="00E0027C"/>
    <w:rsid w:val="00E06EFB"/>
    <w:rsid w:val="00E26FC4"/>
    <w:rsid w:val="00E3692D"/>
    <w:rsid w:val="00E51928"/>
    <w:rsid w:val="00E53875"/>
    <w:rsid w:val="00E56305"/>
    <w:rsid w:val="00E839D8"/>
    <w:rsid w:val="00EB1A7C"/>
    <w:rsid w:val="00ED263C"/>
    <w:rsid w:val="00ED7C05"/>
    <w:rsid w:val="00F013BD"/>
    <w:rsid w:val="00F218B7"/>
    <w:rsid w:val="00F4740A"/>
    <w:rsid w:val="00F81BD2"/>
    <w:rsid w:val="00F81E48"/>
    <w:rsid w:val="00F90C43"/>
    <w:rsid w:val="00FF58C5"/>
    <w:rsid w:val="155134D7"/>
    <w:rsid w:val="17A06081"/>
    <w:rsid w:val="1C385E80"/>
    <w:rsid w:val="20566BAD"/>
    <w:rsid w:val="279464B3"/>
    <w:rsid w:val="365811D7"/>
    <w:rsid w:val="38786CC4"/>
    <w:rsid w:val="3A66055A"/>
    <w:rsid w:val="3BEE6C9E"/>
    <w:rsid w:val="55FD3C7A"/>
    <w:rsid w:val="5E625599"/>
    <w:rsid w:val="78E75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paragraph" w:styleId="2">
    <w:name w:val="heading 2"/>
    <w:basedOn w:val="1"/>
    <w:next w:val="1"/>
    <w:link w:val="23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5B9BD5" w:themeColor="accent1"/>
      <w:sz w:val="26"/>
      <w:szCs w:val="26"/>
      <w:lang w:val="en-US"/>
      <w14:textFill>
        <w14:solidFill>
          <w14:schemeClr w14:val="accent1"/>
        </w14:solidFill>
      </w14:textFill>
    </w:rPr>
  </w:style>
  <w:style w:type="paragraph" w:styleId="3">
    <w:name w:val="heading 3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4E79" w:themeColor="accent1" w:themeShade="80"/>
      <w:sz w:val="24"/>
      <w:szCs w:val="2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9"/>
    <w:semiHidden/>
    <w:unhideWhenUsed/>
    <w:qFormat/>
    <w:uiPriority w:val="99"/>
    <w:rPr>
      <w:rFonts w:ascii="Segoe UI" w:hAnsi="Segoe UI" w:cs="Segoe UI"/>
      <w:sz w:val="18"/>
      <w:szCs w:val="18"/>
    </w:rPr>
  </w:style>
  <w:style w:type="character" w:styleId="7">
    <w:name w:val="annotation reference"/>
    <w:basedOn w:val="4"/>
    <w:semiHidden/>
    <w:unhideWhenUsed/>
    <w:qFormat/>
    <w:uiPriority w:val="99"/>
    <w:rPr>
      <w:sz w:val="16"/>
      <w:szCs w:val="16"/>
    </w:rPr>
  </w:style>
  <w:style w:type="paragraph" w:styleId="8">
    <w:name w:val="annotation text"/>
    <w:basedOn w:val="1"/>
    <w:link w:val="20"/>
    <w:semiHidden/>
    <w:unhideWhenUsed/>
    <w:qFormat/>
    <w:uiPriority w:val="99"/>
    <w:pPr>
      <w:spacing w:after="0" w:line="240" w:lineRule="auto"/>
    </w:pPr>
    <w:rPr>
      <w:sz w:val="20"/>
      <w:szCs w:val="20"/>
      <w:lang w:val="en-US"/>
    </w:rPr>
  </w:style>
  <w:style w:type="paragraph" w:styleId="9">
    <w:name w:val="annotation subject"/>
    <w:basedOn w:val="8"/>
    <w:next w:val="8"/>
    <w:link w:val="21"/>
    <w:semiHidden/>
    <w:unhideWhenUsed/>
    <w:qFormat/>
    <w:uiPriority w:val="99"/>
    <w:rPr>
      <w:b/>
      <w:bCs/>
    </w:rPr>
  </w:style>
  <w:style w:type="character" w:styleId="10">
    <w:name w:val="Emphasis"/>
    <w:basedOn w:val="4"/>
    <w:qFormat/>
    <w:uiPriority w:val="20"/>
    <w:rPr>
      <w:i/>
      <w:iCs/>
    </w:rPr>
  </w:style>
  <w:style w:type="paragraph" w:styleId="11">
    <w:name w:val="footer"/>
    <w:basedOn w:val="1"/>
    <w:link w:val="18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paragraph" w:styleId="12">
    <w:name w:val="header"/>
    <w:basedOn w:val="1"/>
    <w:link w:val="17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styleId="13">
    <w:name w:val="Hyperlink"/>
    <w:unhideWhenUsed/>
    <w:qFormat/>
    <w:uiPriority w:val="0"/>
    <w:rPr>
      <w:color w:val="000080"/>
      <w:u w:val="single"/>
    </w:rPr>
  </w:style>
  <w:style w:type="paragraph" w:styleId="14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character" w:styleId="15">
    <w:name w:val="Strong"/>
    <w:basedOn w:val="4"/>
    <w:qFormat/>
    <w:uiPriority w:val="22"/>
    <w:rPr>
      <w:b/>
      <w:bCs/>
    </w:rPr>
  </w:style>
  <w:style w:type="table" w:styleId="1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Zaglavlje Char"/>
    <w:basedOn w:val="4"/>
    <w:link w:val="12"/>
    <w:qFormat/>
    <w:uiPriority w:val="99"/>
  </w:style>
  <w:style w:type="character" w:customStyle="1" w:styleId="18">
    <w:name w:val="Podnožje Char"/>
    <w:basedOn w:val="4"/>
    <w:link w:val="11"/>
    <w:qFormat/>
    <w:uiPriority w:val="99"/>
  </w:style>
  <w:style w:type="character" w:customStyle="1" w:styleId="19">
    <w:name w:val="Tekst balončića Char"/>
    <w:basedOn w:val="4"/>
    <w:link w:val="6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20">
    <w:name w:val="Tekst komentara Char"/>
    <w:basedOn w:val="4"/>
    <w:link w:val="8"/>
    <w:semiHidden/>
    <w:qFormat/>
    <w:uiPriority w:val="99"/>
    <w:rPr>
      <w:sz w:val="20"/>
      <w:szCs w:val="20"/>
    </w:rPr>
  </w:style>
  <w:style w:type="character" w:customStyle="1" w:styleId="21">
    <w:name w:val="Predmet komentara Char"/>
    <w:basedOn w:val="20"/>
    <w:link w:val="9"/>
    <w:semiHidden/>
    <w:qFormat/>
    <w:uiPriority w:val="99"/>
    <w:rPr>
      <w:b/>
      <w:bCs/>
      <w:sz w:val="20"/>
      <w:szCs w:val="20"/>
    </w:rPr>
  </w:style>
  <w:style w:type="paragraph" w:styleId="22">
    <w:name w:val="List Paragraph"/>
    <w:basedOn w:val="1"/>
    <w:qFormat/>
    <w:uiPriority w:val="34"/>
    <w:pPr>
      <w:ind w:left="720"/>
      <w:contextualSpacing/>
    </w:pPr>
  </w:style>
  <w:style w:type="character" w:customStyle="1" w:styleId="23">
    <w:name w:val="Naslov 2 Char"/>
    <w:basedOn w:val="4"/>
    <w:link w:val="2"/>
    <w:qFormat/>
    <w:uiPriority w:val="9"/>
    <w:rPr>
      <w:rFonts w:asciiTheme="majorHAnsi" w:hAnsiTheme="majorHAnsi" w:eastAsiaTheme="majorEastAsia" w:cstheme="majorBidi"/>
      <w:b/>
      <w:bCs/>
      <w:color w:val="5B9BD5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24">
    <w:name w:val="Naslov 3 Char"/>
    <w:basedOn w:val="4"/>
    <w:link w:val="3"/>
    <w:semiHidden/>
    <w:qFormat/>
    <w:uiPriority w:val="9"/>
    <w:rPr>
      <w:rFonts w:asciiTheme="majorHAnsi" w:hAnsiTheme="majorHAnsi" w:eastAsiaTheme="majorEastAsia" w:cstheme="majorBidi"/>
      <w:color w:val="1F4E79" w:themeColor="accent1" w:themeShade="80"/>
      <w:sz w:val="24"/>
      <w:szCs w:val="24"/>
      <w:lang w:val="hr-H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206D6-CF7E-4846-BA96-5156B946411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295</Words>
  <Characters>1898</Characters>
  <Lines>36</Lines>
  <Paragraphs>13</Paragraphs>
  <TotalTime>1</TotalTime>
  <ScaleCrop>false</ScaleCrop>
  <LinksUpToDate>false</LinksUpToDate>
  <CharactersWithSpaces>2180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2025-10-22T12:22:00Z</dcterms:created>
  <dc:creator>PGKFBIH</dc:creator>
  <cp:lastModifiedBy>LENOVO</cp:lastModifiedBy>
  <cp:lastPrinted>2024-01-22T13:13:00Z</cp:lastPrinted>
  <dcterms:modified xsi:type="dcterms:W3CDTF">2025-10-29T16:45:01Z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a3889e83-59dd-4073-99d5-efb702747132</vt:lpwstr>
  </property>
  <property fmtid="{D5CDD505-2E9C-101B-9397-08002B2CF9AE}" pid="3" name="KSOProductBuildVer">
    <vt:lpwstr>1033-12.2.0.22549</vt:lpwstr>
  </property>
  <property fmtid="{D5CDD505-2E9C-101B-9397-08002B2CF9AE}" pid="4" name="ICV">
    <vt:lpwstr>C29A12B203E947DD9212A2314BDDD780_13</vt:lpwstr>
  </property>
</Properties>
</file>